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05F9E868" w:rsidR="00AF5B7E" w:rsidRPr="00FF77BB" w:rsidRDefault="00AF5B7E" w:rsidP="00AF5B7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A10F2F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4707A60E" w:rsidR="00AF5B7E" w:rsidRPr="00FF77BB" w:rsidRDefault="00AF5B7E" w:rsidP="003503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A10F2F">
        <w:rPr>
          <w:rFonts w:ascii="Garamond" w:hAnsi="Garamond" w:cs="Arial"/>
          <w:b/>
          <w:iCs/>
          <w:color w:val="000000" w:themeColor="text1"/>
        </w:rPr>
        <w:t>2182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648"/>
        <w:gridCol w:w="1729"/>
        <w:gridCol w:w="1427"/>
        <w:gridCol w:w="1038"/>
        <w:gridCol w:w="1321"/>
        <w:gridCol w:w="999"/>
      </w:tblGrid>
      <w:tr w:rsidR="00A10F2F" w:rsidRPr="00FB3D85" w14:paraId="554CC814" w14:textId="77777777" w:rsidTr="00A10F2F">
        <w:trPr>
          <w:trHeight w:val="42"/>
        </w:trPr>
        <w:tc>
          <w:tcPr>
            <w:tcW w:w="242" w:type="pct"/>
            <w:shd w:val="clear" w:color="000000" w:fill="D9D9D9"/>
            <w:vAlign w:val="center"/>
            <w:hideMark/>
          </w:tcPr>
          <w:p w14:paraId="256E2383" w14:textId="77777777" w:rsidR="00A10F2F" w:rsidRPr="00FB3D85" w:rsidRDefault="00A10F2F" w:rsidP="00C32220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ITEM</w:t>
            </w:r>
          </w:p>
        </w:tc>
        <w:tc>
          <w:tcPr>
            <w:tcW w:w="1375" w:type="pct"/>
            <w:shd w:val="clear" w:color="000000" w:fill="D9D9D9"/>
            <w:vAlign w:val="center"/>
            <w:hideMark/>
          </w:tcPr>
          <w:p w14:paraId="0D551AE8" w14:textId="77777777" w:rsidR="00A10F2F" w:rsidRPr="00FB3D85" w:rsidRDefault="00A10F2F" w:rsidP="00C322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98" w:type="pct"/>
            <w:shd w:val="clear" w:color="000000" w:fill="D9D9D9"/>
            <w:vAlign w:val="center"/>
            <w:hideMark/>
          </w:tcPr>
          <w:p w14:paraId="14F5E03E" w14:textId="77777777" w:rsidR="00A10F2F" w:rsidRPr="00FB3D85" w:rsidRDefault="00A10F2F" w:rsidP="00C322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KM TOTAL - ESTIMADO</w:t>
            </w:r>
          </w:p>
        </w:tc>
        <w:tc>
          <w:tcPr>
            <w:tcW w:w="741" w:type="pct"/>
            <w:shd w:val="clear" w:color="000000" w:fill="D9D9D9"/>
          </w:tcPr>
          <w:p w14:paraId="42FDF296" w14:textId="3AD5CD48" w:rsidR="00A10F2F" w:rsidRPr="00FB3D85" w:rsidRDefault="00A10F2F" w:rsidP="00C322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539" w:type="pct"/>
            <w:shd w:val="clear" w:color="000000" w:fill="D9D9D9"/>
          </w:tcPr>
          <w:p w14:paraId="5B84DEDA" w14:textId="4CC17F8A" w:rsidR="00A10F2F" w:rsidRPr="00FB3D85" w:rsidRDefault="00A10F2F" w:rsidP="00C322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ANO/MODELO</w:t>
            </w:r>
          </w:p>
        </w:tc>
        <w:tc>
          <w:tcPr>
            <w:tcW w:w="686" w:type="pct"/>
            <w:shd w:val="clear" w:color="000000" w:fill="D9D9D9"/>
          </w:tcPr>
          <w:p w14:paraId="6FDDE45E" w14:textId="6CCAF016" w:rsidR="00A10F2F" w:rsidRPr="00FB3D85" w:rsidRDefault="00A10F2F" w:rsidP="00C322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19" w:type="pct"/>
            <w:shd w:val="clear" w:color="000000" w:fill="D9D9D9"/>
            <w:noWrap/>
            <w:vAlign w:val="center"/>
          </w:tcPr>
          <w:p w14:paraId="37A87993" w14:textId="6B59D7D4" w:rsidR="00A10F2F" w:rsidRPr="00FB3D85" w:rsidRDefault="00A10F2F" w:rsidP="00C322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10F2F" w:rsidRPr="00FB3D85" w14:paraId="2B786F16" w14:textId="77777777" w:rsidTr="00A10F2F">
        <w:trPr>
          <w:trHeight w:val="42"/>
        </w:trPr>
        <w:tc>
          <w:tcPr>
            <w:tcW w:w="242" w:type="pct"/>
            <w:shd w:val="clear" w:color="auto" w:fill="auto"/>
            <w:vAlign w:val="center"/>
            <w:hideMark/>
          </w:tcPr>
          <w:p w14:paraId="7DA492A2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1375" w:type="pct"/>
            <w:shd w:val="clear" w:color="auto" w:fill="auto"/>
            <w:vAlign w:val="center"/>
            <w:hideMark/>
          </w:tcPr>
          <w:p w14:paraId="2D9A5C38" w14:textId="6E9CF1CE" w:rsidR="00A10F2F" w:rsidRPr="00FB3D85" w:rsidRDefault="00A10F2F" w:rsidP="00A10F2F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9 LUGARES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MÁXIMO 15 ANOS DE FABRICAÇÃO.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5D0A47E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741" w:type="pct"/>
          </w:tcPr>
          <w:p w14:paraId="576020F7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9" w:type="pct"/>
          </w:tcPr>
          <w:p w14:paraId="526B1FFC" w14:textId="23503724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86" w:type="pct"/>
          </w:tcPr>
          <w:p w14:paraId="3965AB9A" w14:textId="6A9C4E99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34F0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0432894" w14:textId="02CDB6E6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34F0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0F2F" w:rsidRPr="00FB3D85" w14:paraId="57A7751C" w14:textId="77777777" w:rsidTr="00A10F2F">
        <w:trPr>
          <w:trHeight w:val="42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64A771C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75" w:type="pct"/>
            <w:shd w:val="clear" w:color="auto" w:fill="auto"/>
            <w:vAlign w:val="center"/>
            <w:hideMark/>
          </w:tcPr>
          <w:p w14:paraId="31C8466A" w14:textId="0086ECAE" w:rsidR="00A10F2F" w:rsidRPr="00FB3D85" w:rsidRDefault="00A10F2F" w:rsidP="00A10F2F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15 LUGARES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MÁXIMO 15 ANOS DE FABRICAÇÃO.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B4210CB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741" w:type="pct"/>
          </w:tcPr>
          <w:p w14:paraId="56E1C7CB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9" w:type="pct"/>
          </w:tcPr>
          <w:p w14:paraId="6B2A3A63" w14:textId="1DDD891C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86" w:type="pct"/>
          </w:tcPr>
          <w:p w14:paraId="7FE8BEAA" w14:textId="09803819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34F0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08B361A" w14:textId="28EE473C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34F0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0F2F" w:rsidRPr="00FB3D85" w14:paraId="4B7409D6" w14:textId="77777777" w:rsidTr="00A10F2F">
        <w:trPr>
          <w:trHeight w:val="42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E44A211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375" w:type="pct"/>
            <w:shd w:val="clear" w:color="auto" w:fill="auto"/>
            <w:vAlign w:val="center"/>
            <w:hideMark/>
          </w:tcPr>
          <w:p w14:paraId="3A0A396C" w14:textId="54C0C09E" w:rsidR="00A10F2F" w:rsidRPr="00FB3D85" w:rsidRDefault="00A10F2F" w:rsidP="00A10F2F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25 LUGARES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MÁXIMO 15 ANOS DE FABRICAÇÃO.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549B682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741" w:type="pct"/>
          </w:tcPr>
          <w:p w14:paraId="48D8FEAD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9" w:type="pct"/>
          </w:tcPr>
          <w:p w14:paraId="2A6F6814" w14:textId="2EBAA1AC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86" w:type="pct"/>
          </w:tcPr>
          <w:p w14:paraId="31AEF758" w14:textId="16F4DBDE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34F0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7EB5DA2" w14:textId="582F8CAF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34F0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0F2F" w:rsidRPr="00FB3D85" w14:paraId="71F568BA" w14:textId="77777777" w:rsidTr="00A10F2F">
        <w:trPr>
          <w:trHeight w:val="42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DAA257E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375" w:type="pct"/>
            <w:shd w:val="clear" w:color="auto" w:fill="auto"/>
            <w:vAlign w:val="center"/>
            <w:hideMark/>
          </w:tcPr>
          <w:p w14:paraId="436D28F1" w14:textId="7D61B67C" w:rsidR="00A10F2F" w:rsidRPr="00FB3D85" w:rsidRDefault="00A10F2F" w:rsidP="00A10F2F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35 LUGARES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MÁXIMO 15 ANOS DE FABRICAÇÃO.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DC87B0B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B3D8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741" w:type="pct"/>
          </w:tcPr>
          <w:p w14:paraId="2460ACC3" w14:textId="77777777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9" w:type="pct"/>
          </w:tcPr>
          <w:p w14:paraId="73633950" w14:textId="47AF1FB8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86" w:type="pct"/>
          </w:tcPr>
          <w:p w14:paraId="45341317" w14:textId="4AA3A3BF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34F0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F253881" w14:textId="3334F5C9" w:rsidR="00A10F2F" w:rsidRPr="00FB3D85" w:rsidRDefault="00A10F2F" w:rsidP="00A10F2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34F0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D4B760E" w14:textId="77777777" w:rsidR="00A10F2F" w:rsidRDefault="00A10F2F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086F4C8B" w:rsidR="00AF5B7E" w:rsidRPr="00E360F0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2AA2AE92" w14:textId="63D1085B" w:rsidR="00AF5B7E" w:rsidRPr="00E360F0" w:rsidRDefault="00AF5B7E" w:rsidP="003503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123FD188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C741F7">
        <w:rPr>
          <w:rFonts w:ascii="Garamond" w:hAnsi="Garamond" w:cs="Arial"/>
          <w:color w:val="000000" w:themeColor="text1"/>
        </w:rPr>
        <w:t>a prestação dos serviços</w:t>
      </w:r>
      <w:r w:rsidRPr="00E360F0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473F0520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A10F2F">
        <w:rPr>
          <w:rFonts w:ascii="Garamond" w:hAnsi="Garamond" w:cs="Arial"/>
          <w:color w:val="000000" w:themeColor="text1"/>
        </w:rPr>
        <w:t xml:space="preserve">a prestação dos serviços </w:t>
      </w:r>
      <w:r w:rsidRPr="00E360F0">
        <w:rPr>
          <w:rFonts w:ascii="Garamond" w:hAnsi="Garamond" w:cs="Arial"/>
          <w:color w:val="000000" w:themeColor="text1"/>
        </w:rPr>
        <w:t>para os quais apresentamos nossa proposta.</w:t>
      </w:r>
    </w:p>
    <w:p w14:paraId="30431DDD" w14:textId="7B4EB6AC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d) </w:t>
      </w:r>
      <w:r w:rsidR="00A10F2F">
        <w:rPr>
          <w:rFonts w:ascii="Garamond" w:hAnsi="Garamond" w:cs="Arial"/>
          <w:color w:val="000000" w:themeColor="text1"/>
        </w:rPr>
        <w:t>A execução</w:t>
      </w:r>
      <w:r w:rsidRPr="00E360F0">
        <w:rPr>
          <w:rFonts w:ascii="Garamond" w:hAnsi="Garamond" w:cs="Arial"/>
          <w:color w:val="000000" w:themeColor="text1"/>
        </w:rPr>
        <w:t xml:space="preserve"> será de acordo com o estipulado no Termo de Referência.</w:t>
      </w:r>
    </w:p>
    <w:p w14:paraId="3FAC0D4C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05FB4DBA" w14:textId="020B3642" w:rsidR="00AF5B7E" w:rsidRDefault="00AF5B7E" w:rsidP="004B679B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>
        <w:rPr>
          <w:rFonts w:ascii="Garamond" w:hAnsi="Garamond" w:cs="Arial"/>
          <w:color w:val="000000" w:themeColor="text1"/>
        </w:rPr>
        <w:t>___</w:t>
      </w:r>
      <w:r w:rsidRPr="00E360F0">
        <w:rPr>
          <w:rFonts w:ascii="Garamond" w:hAnsi="Garamond" w:cs="Arial"/>
          <w:color w:val="000000" w:themeColor="text1"/>
        </w:rPr>
        <w:t>, ____ de ______ de _____.</w:t>
      </w:r>
    </w:p>
    <w:p w14:paraId="14E179C4" w14:textId="77777777" w:rsidR="00AF5B7E" w:rsidRPr="00E360F0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E46189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0787CA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4C4E99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38CF75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BCA5C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FE08AF1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6CD54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CBA046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4C33FA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1B9C52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FD78FC7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A814CC1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B74E7F8" w14:textId="40D7DE29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C741F7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EF3EEB5" w14:textId="514C12B6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C741F7">
        <w:rPr>
          <w:rFonts w:ascii="Garamond" w:hAnsi="Garamond" w:cs="Arial"/>
          <w:b/>
          <w:iCs/>
          <w:color w:val="000000" w:themeColor="text1"/>
        </w:rPr>
        <w:t>2182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45CC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2F9C0B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2723FB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394FEB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92CA98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7B32C52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4F1978E2" w14:textId="5A8DE039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C741F7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F3F5BDB" w14:textId="2CFCBA7B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C741F7">
        <w:rPr>
          <w:rFonts w:ascii="Garamond" w:hAnsi="Garamond" w:cs="Arial"/>
          <w:b/>
          <w:iCs/>
          <w:color w:val="000000" w:themeColor="text1"/>
        </w:rPr>
        <w:t>2182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>: emprega menor, a partir de 14 (quatorze) anos, na condição de aprendiz (  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F445E7D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2BDEA5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479961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422203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570106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5CB3ADA9" w14:textId="47F6B7F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C741F7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1A02B6" w14:textId="1A83941E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C741F7">
        <w:rPr>
          <w:rFonts w:ascii="Garamond" w:hAnsi="Garamond" w:cs="Arial"/>
          <w:b/>
          <w:iCs/>
          <w:color w:val="000000" w:themeColor="text1"/>
        </w:rPr>
        <w:t>2182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9BFA5C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52E4C6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8211BF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D809A4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5CF197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24E6E38D" w14:textId="63D75ED1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C741F7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8B44D32" w14:textId="1902C5EF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C741F7">
        <w:rPr>
          <w:rFonts w:ascii="Garamond" w:hAnsi="Garamond" w:cs="Arial"/>
          <w:b/>
          <w:iCs/>
          <w:color w:val="000000" w:themeColor="text1"/>
        </w:rPr>
        <w:t>2182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2869B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3ADBC1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94575F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E203DF9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A8E614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BD2B91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4802611D" w14:textId="5A7D8AAB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C741F7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E54693C" w14:textId="04003183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C741F7">
        <w:rPr>
          <w:rFonts w:ascii="Garamond" w:hAnsi="Garamond" w:cs="Arial"/>
          <w:b/>
          <w:iCs/>
          <w:color w:val="000000" w:themeColor="text1"/>
        </w:rPr>
        <w:t>2182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72FE6A2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5555F0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DC1E68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29E8C7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D667B0" w14:textId="77777777" w:rsidR="009334DD" w:rsidRDefault="009334D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55D227" w14:textId="1C5A99D9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C741F7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26BF437" w14:textId="6ABC1A6A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C741F7">
        <w:rPr>
          <w:rFonts w:ascii="Garamond" w:hAnsi="Garamond" w:cs="Arial"/>
          <w:b/>
          <w:iCs/>
          <w:color w:val="000000" w:themeColor="text1"/>
        </w:rPr>
        <w:t>2182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7DA2D2" w14:textId="77777777" w:rsidR="0081382E" w:rsidRPr="003F640B" w:rsidRDefault="0081382E" w:rsidP="003F640B">
      <w:pPr>
        <w:pStyle w:val="Nivel2"/>
        <w:numPr>
          <w:ilvl w:val="0"/>
          <w:numId w:val="0"/>
        </w:numPr>
        <w:spacing w:before="0" w:after="0" w:line="240" w:lineRule="auto"/>
        <w:rPr>
          <w:rFonts w:ascii="Garamond" w:eastAsia="Times New Roman" w:hAnsi="Garamond"/>
          <w:sz w:val="24"/>
          <w:szCs w:val="24"/>
        </w:rPr>
      </w:pPr>
    </w:p>
    <w:sectPr w:rsidR="0081382E" w:rsidRPr="003F640B" w:rsidSect="004D3DEE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F46B4" w14:textId="77777777" w:rsidR="004D3DEE" w:rsidRDefault="004D3DEE">
      <w:r>
        <w:separator/>
      </w:r>
    </w:p>
  </w:endnote>
  <w:endnote w:type="continuationSeparator" w:id="0">
    <w:p w14:paraId="7067E3C7" w14:textId="77777777" w:rsidR="004D3DEE" w:rsidRDefault="004D3DEE">
      <w:r>
        <w:continuationSeparator/>
      </w:r>
    </w:p>
  </w:endnote>
  <w:endnote w:type="continuationNotice" w:id="1">
    <w:p w14:paraId="23AF5995" w14:textId="77777777" w:rsidR="004D3DEE" w:rsidRDefault="004D3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B2956" w14:textId="77777777" w:rsidR="004D3DEE" w:rsidRDefault="004D3DEE">
      <w:r>
        <w:separator/>
      </w:r>
    </w:p>
  </w:footnote>
  <w:footnote w:type="continuationSeparator" w:id="0">
    <w:p w14:paraId="4425A7BF" w14:textId="77777777" w:rsidR="004D3DEE" w:rsidRDefault="004D3DEE">
      <w:r>
        <w:continuationSeparator/>
      </w:r>
    </w:p>
  </w:footnote>
  <w:footnote w:type="continuationNotice" w:id="1">
    <w:p w14:paraId="0930E8A6" w14:textId="77777777" w:rsidR="004D3DEE" w:rsidRDefault="004D3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5"/>
  </w:num>
  <w:num w:numId="8" w16cid:durableId="2070305899">
    <w:abstractNumId w:val="17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19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2"/>
  </w:num>
  <w:num w:numId="40" w16cid:durableId="886330868">
    <w:abstractNumId w:val="5"/>
  </w:num>
  <w:num w:numId="41" w16cid:durableId="1448548408">
    <w:abstractNumId w:val="16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4"/>
  </w:num>
  <w:num w:numId="45" w16cid:durableId="1364742571">
    <w:abstractNumId w:val="21"/>
  </w:num>
  <w:num w:numId="46" w16cid:durableId="7920896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AC1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499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87B3E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DE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1F47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34DD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0F2F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53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3C6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1F7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2024-04-01T12:07:00Z</dcterms:created>
  <dcterms:modified xsi:type="dcterms:W3CDTF">2024-04-01T12:07:00Z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