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05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17EBD4FA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15B88DA6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606"/>
        <w:gridCol w:w="3815"/>
        <w:gridCol w:w="556"/>
        <w:gridCol w:w="634"/>
        <w:gridCol w:w="1396"/>
        <w:gridCol w:w="1263"/>
        <w:gridCol w:w="856"/>
      </w:tblGrid>
      <w:tr w:rsidR="00C866DB" w:rsidRPr="008925C7" w14:paraId="68D904AE" w14:textId="77777777" w:rsidTr="00374B2D">
        <w:trPr>
          <w:trHeight w:val="3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55B4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B679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SUBITEM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2F46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3C1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QTDE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8C69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UNIDADE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C7B4A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MARCA/LABORATÓRIO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6B033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697C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C866DB" w:rsidRPr="008925C7" w14:paraId="64B9E896" w14:textId="77777777" w:rsidTr="00374B2D">
        <w:trPr>
          <w:trHeight w:val="38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762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9CE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E3F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FERRITINA TURBIDIMETRIA 1X30+1X10 ML COM CALIBRADOR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20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5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80DA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BE1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A2C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17E8BF9" w14:textId="77777777" w:rsidTr="00374B2D">
        <w:trPr>
          <w:trHeight w:val="320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E17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7BE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4B3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CREATININA 250 ML (2 X 100ML + 2 X 25ML)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15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58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0C8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12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522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F7BC6FD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ED9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F2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FE5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ÁCIDO ÚRICO 250 ML -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80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991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4E4A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6E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59A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23763CA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CA8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D3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C0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ALT/GPT 200 ML (4 X 40ML + 1 X 40ML)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669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75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8BE1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97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137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A6EFEA1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8FE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1E5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01E7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KIT AST/GOT  200 ML (4 X 40ML + 1 X 40ML)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7C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35B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4C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9C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298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E491E74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62B8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CD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EEA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REAGENTE BIOQUÍMICA BILIRRUBINAS TOTAL E DIRETA PARA APARELHO BIOPLUS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A5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5A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628D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75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16C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8FF8154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3BE8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F1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81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COLESTEROL 4 X 100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3A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F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A2C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3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9236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9885D4D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0CE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7C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7F4B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FOSFATASE ALCALINA 100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FB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5F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96BF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D3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BAD6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1EA65AF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29BD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E8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56B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GAMA GT 100ML (4 X 20ML + 1 X 20ML),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33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804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9CA9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9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9B8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592E4DB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A3AC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0B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AE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GLICOSE 4 X 250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15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76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9B4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96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0CF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63507C1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013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1C8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9AFA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LACTATO 1X60 ML A + 1X12 ML B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A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D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7289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A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22F1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1ACB17E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49C2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EB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8AF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CKMB 60 ML (1 X 50ML + 1 X 10ML)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5CE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CE7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FFF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1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AAEB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B778DC7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E58B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FD3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44F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CK-NAC 120 ML (5 X 20ML + 1 X 20ML)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FC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C92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4EA2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74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354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7B91D91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F2D8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235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090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REAGENTE PCR QUANTITATIVO TURBIDIMETRIA - COMPATÍVEL COM O EQUIPAMENTO AUDMAX EVOLUTION, LABTEST - 1 X 50ML + 1 X 10ML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9A5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1F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8E15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4E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DF41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0BDBDA3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4B60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38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3279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TRIGLICÉRIDES LÍQUIDO 4 X 100 ML  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152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17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5025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CB9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C7A5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43DF129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D6E0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463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29B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URÉIA LIQUIDA  500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97B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0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0A96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5B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53A6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E5312B8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7BC6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88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F4C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 xml:space="preserve">PADRÃO DE BILIRRUBINAS COMPATIVEL COM O REAGENTE DE BILIRRUBINAS -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B1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59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2B6F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CB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CC73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C4319ED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0E37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0B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0D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BILIRRUBINA DIRETA 240 ML (4 X 50ML + 2 X 20ML)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E9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96A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6C1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2B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44C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CDB5C06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6333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E0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E45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BILIRRUBINA TOTAL 240 ML (4 X 50ML + 2 X 20ML)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2FB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92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BAE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1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A3B2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78EC4CD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0F65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EE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CB9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AMILASE 3 X 10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523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E2D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48B6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9B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34C3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6ADDDA8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AD83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78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7E0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REAGENTE CONTROLE PCR QUANTITATIVO TURBIDIMETRIA - COMPATÍVEL COM O EQUIPAMENTO AUDMAX EVOLUTION, LABTEST. 1 X 2ML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80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EED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CB0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2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8C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41E43C2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860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C9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8E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CALIBRADOR PCR TURBIDIMETRIA, 8 X 2 ML - COMPATIVEL COM O EQUIPAMENTO AUDMAX EVOLUTION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EA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1BD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687C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59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DFF7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9D1CF05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46E9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5E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F39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HDL  80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DDE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538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C6C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F0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4C9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3F6FB1A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E32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53A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FE3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LDH UV 100 ML,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3C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9DA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5B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6D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710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FA6F0B3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AF3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98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167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CALIBRADOR 2 X 3 ML,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6B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2A1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3BCC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56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D642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64F9470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CB0A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11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B3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SORO CONTROLE NORMAL E PATOLOGICO - 6 X 5 ML,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2A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30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3F3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3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6503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A945B15" w14:textId="77777777" w:rsidTr="00374B2D">
        <w:trPr>
          <w:trHeight w:val="38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5358" w14:textId="77777777" w:rsidR="00C866DB" w:rsidRPr="008925C7" w:rsidRDefault="00C866DB" w:rsidP="00374B2D">
            <w:pP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3BD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3DD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 xml:space="preserve">SORO CONTROLE FERRITINA  2X3 ML REAGENTE COMPATÍVEL COM APARELHO DE BIOQUÍMICA AUDMAX EVOLUTION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05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F57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B1B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3E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532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0877DDC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12E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BA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8A5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ELITE H CLEAN REF (HEM00023). </w:t>
            </w: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H 560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FE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096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5E59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B2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B1F9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76CDCF8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59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CA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8A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210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F2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1DCF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02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1F3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8DAA2E0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FB5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1D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41E9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560 LYSE 1 REF (HEM00031). APARELHO DE SISTEMA FECHADO, USO SOMENTE DE REAGENTE E DILUENTES DA MARCA H 560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21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9E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8530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E1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496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1A2C3A3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68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A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D7C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560 LYSE 2 REF (HEM00032). APARELHO DE SISTEMA FECHADO, USO SOMENTE DE REAGENTE E DILUENTES DA MARCA H 560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5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D4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334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C5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46EF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172762F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3B5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E3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71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H DIL 560 REF (ROE00008). APARELHO DE SISTEMA FECHADO, USO SOMENTE DE REAGENTE E DILUENTES DA MARCA H 560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412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B6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6406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4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137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64A5D06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F6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F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3E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TP PLUS REF (ETPP25). </w:t>
            </w: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963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F0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751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B1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1C3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AF7C66F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9B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6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7AF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TTPA ST REF (ETA 625). </w:t>
            </w: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2F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D2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4B6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00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E7AB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3D1E192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4A0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66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6C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SANGUE CONTROLE D CHECK 5 DIFF, ESPECÍFICO PARA USO NO EQUIPAMENTO HEMATOLÓGICO H560 ERBA (APARELHO SISTEMA FECHADO)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B77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7B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6F70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41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B10D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35C5977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33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8C6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245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ANTIESTREPTOLISINA (ASO) IMUNO-LÁTEX 1X 2,5 ML, COM CONTROLE, KIT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E6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B8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8F81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3A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F90A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CA2419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F01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AB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83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FATOR REUMATÓIDE IMUNO-LÁTEX, FR 1X 2,5ML, COM CONTROLE, KIT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B9D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FD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29A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4D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964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60066E2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0EB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0EF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327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PROTEÍNA C REATIVA IMUNO-LÁTEX, PCR 1X 2,5 ML, COM CONTROLE - KIT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AE9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C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74B5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5D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1C7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F856B94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1E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FF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2D5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 - B PARA TIPAGEM SANGUÍNEA, FRASCO 10 MLS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3CF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AC1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AD3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66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FBD7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3AC0C5D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00A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D0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DD6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 - D PARA TIPAGEM SANGUÍNEA, FRASCO 10 MLS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51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4D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5115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61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F9E6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AA52EF8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21C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1C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063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SORO ANTI-A PARA TIPAGEM SANGUÍNEA, FRASCO 10 MLS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86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58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C5C9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4E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9E4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651BD2B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3B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97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84B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VDRL PRONTO PARA USO, COM CONTROLES (APRESEN: R1:1X5,0ML / CONTROLE POSITIVO:1X0,5ML/CONTROLE NEGATIVO: 1X0,5ML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CDD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35A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767F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A1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ACA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B5D3502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D21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BFE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FB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TESTE RÁPIDO NS1 PARA DENGUE CAIXA COM 25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64D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6B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BD82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AA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6537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92CB80F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3E5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E7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ADC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BETA-HCG, CAIXA COM 25 CASSETES, EM EMBALAGEM INDIVIDUAL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9E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E2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FAAB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8C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4E40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61E06B2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74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B3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93A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ANTÍGENO COVID-19 AG, CAIXA COM 25 PLACAS TESTE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D25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F8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E00E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50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1AFB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3BEE556" w14:textId="77777777" w:rsidTr="00374B2D">
        <w:trPr>
          <w:trHeight w:val="5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BBF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D9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E039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DENGUE IGG/IGM, IMUNOCROMATOGRAFIA, CAIXA COM 25 PLACAS TESTE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DE6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B3E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EF1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884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574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8B0AE9B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EF3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8B5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30B8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RÁPIDO PARA HIV 1 E 2, CAIXA COM 20 PLACAS TESTE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D0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BF6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3B60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A9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51F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95D2410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138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3C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487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TESTE RAPIDO TROPONINA 1 IMUNOCROMATOGRAFIA, 20 TESTES POR EMBALAGEM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A6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F9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B4BA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C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43C6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6B353BC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6F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79A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92F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KIT REFIL DEIONIZADOR OSMOSE MEMBRANA 4 ESTAGIOS, COMPATIVEL PARA O EQUIPAMENTO DE OSMOSE REVERSA MARCA FDMA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ED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F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F46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60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EF4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485E7C0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295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FF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BE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7AF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57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1E2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8C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3B3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E9823EB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A8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4BE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CF3B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TTPA ST REF (ETA 625). </w:t>
            </w: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D1C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230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54AD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EE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09B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07ECBA5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CC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9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C6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  <w:lang w:val="en-US"/>
              </w:rPr>
              <w:t xml:space="preserve">ERBA TP PLUS REF (ETPP25). </w:t>
            </w: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116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D0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96E1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F3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D1F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FBE77EA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8F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927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0803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AC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BA5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99D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F8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7CE9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31EA2B5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10D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EBB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A7DF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BANDAGEM ADESIVA BLOOD STOP CAIXA C/ 500 UNIDADE, INFANTIL REDONDA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80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F48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E2D2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BF1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986A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88BCE3D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9E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50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609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BANDAGEM ADESIVA BLOOD STOP CAIXA C/ 500 UNIDADES, ADULTO REDONDA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E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0C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6CF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E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984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83E21FD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53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39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F2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BIOCLEAN PLUS FRASCO 50 ML (SOLUÇÃO PARA LIMPEZA DE CUBETAS EM APARELHO SEMI AUTOMÁTICO- BIOPLUS 2000)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62E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B87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1D16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EF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176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ACAFEA4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B0A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33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52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COLETOR UNIVERSAL  80 MLS, INDIVIDUAL, ESTÉRIL, PACOTE COM 100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3C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B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B35D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9C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302B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14155C7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B83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D94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E3E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HEMATOLÓGICO GIEMSA, FRASCO COM 500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61A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DA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FR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A5D1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79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254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30273B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65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B3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71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HEMATOLÓGICO MAYS COMPATIVEL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63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FE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FR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89AD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47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41D3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3D9F97F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1DE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DF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A7D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CORANTE PANÓTICO RÁPIDO COMPLETO, 3 FRASCOS DE 500 ML, KIT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FD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C50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4F8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72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F96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C92F279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F4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73D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E6D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PLASTICO DESCARTAVEL PARA USO NO APARELHO DE BIOQUIMICA - COMPATÍVEL COM O EQUIPAMENTO AUDMAX EVOLUTION, LABTEST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99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3FC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4271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6C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E2D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A7E8620" w14:textId="77777777" w:rsidTr="00374B2D">
        <w:trPr>
          <w:trHeight w:val="4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F7C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5D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BA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32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7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613C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1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FD8D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FEBA398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412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6D7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02FC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DESINCRUSTANTE RIO 93 EM PÓ PCTO DE 1KG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37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DD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AD90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92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EDE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6238F644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D9C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6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C73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FITAS PARA URINA C/ 10 ÁREAS, 100 FITAS TESTE POR CAIXA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408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F3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BBD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CD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2B2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A09CEE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880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B7D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FB17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GLUC UP 75, FRASCO 300 ML SABOR LARANJA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37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C2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E966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EB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F598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0B870E1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03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236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9B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GLUC UP 75, FRASCO 300 ML SABOR LIMÃO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72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8B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8BFE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5F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B5A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F8F0592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DD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2E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F8C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LÂMINA PARA MICROSCÓPIO C/ PONTA FOSCA LAPIDADA C/ 50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96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3F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9BF1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4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55A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3FA8E1A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F4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9D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7B4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LÂMINA PARA MICROSCÓPIO LISA LAPIDADA C/ 50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18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A96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DDA0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63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0D5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D956F7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5B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6D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E5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LÂMINULA PARA MICROSCOPIA 18 MM X 18 MM - CAIXA COM10 X 100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A6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5F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5C0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FA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70C0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37FEC4CD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D6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7F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B19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LUGOL FORTE PARA PARASITOLOGIA - FRASCO DE 500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2D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B76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00C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12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65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312B7BB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B89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46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9FB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MICRO TUBO TIPO EPPENDORF DE 0,5 ML PACOTE DE 1000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60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17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PCT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793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9C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850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286E76D5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7EB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9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BBA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ÓLEO DE IMERSÃO PARA MICROSCOPIA, FRASCO COM 100 MLS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7CA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5A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B0C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2A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EB4E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E7230E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815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77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154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PIPETA DE PASTEURS COMPATIVEL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0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B48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5780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31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5F2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ED7BA99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004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AF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74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4D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>SOLUÇÃO ALCALINA CS REF (CSAL/1). REAGENTE ESPECÍFICO PARA O APARELHO DE BIOQUÍMICA AUDMAX EVOLUTION DA LABTEST, QUE ESTÁ EM PERÍODO DE GARANTIA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98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79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7D6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C6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582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748BB15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49E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0A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75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F4E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00000"/>
                <w:sz w:val="10"/>
                <w:szCs w:val="10"/>
              </w:rPr>
              <w:t>SOLUÇÃO ANTIBACTERIANA CS REF (CSANTIBAC/500). REAGENTE ESPECÍFICO PARA O APARELHO DE BIOQUÍMICA AUDMAX EVOLUTION DA LABTEST, QUE ESTÁ EM PERÍODO DE GARANTIA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80B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E7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7F45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3E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E40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251652C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183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5B3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76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C632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TORNIQUETE ADULTO (GARROTES COMPATIVEL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24E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DF3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16CF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81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E3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02F5A9D9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A4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81D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77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2351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TORNIQUETE INFANTIL (GARROTE)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12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F47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7F40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F3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92A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271275E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9E8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F4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78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828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 DE REAGENTES COMPATIVEL PARA USO APARELHO DE BIOQUIMICA - COMPATÍVEL COM O EQUIPAMENTO AUDMAX EVOLUTION, LABTEST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1A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788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AF7E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DB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A80E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5BBF4C4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132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B2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79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1800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 VACUTAINER PARA GLICOSE E LACTATO 4 ML, CAIXA COM 100 UNIDADES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54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CC8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B4C0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AB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88A3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4B92165D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C4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01F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69A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CITRATO DE SÓDIO TAMPA AZUL 2 ML - CAIXA COM 100 TUBOS.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2C9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C7FC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D0F2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CC7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F314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1A53340F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E4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EB4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9C6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CITRATO DE SÓDIO TAMPA AZUL 4 ML - CAIXA COM 100 TUBOS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3C5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882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86C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49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0BB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742CE3E4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41E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D0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82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12B7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EDTA TAMPA ROXA 4 ML, CAIXA COM 100 TUBOS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9EB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22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F9F3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092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BD45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C866DB" w:rsidRPr="008925C7" w14:paraId="584AD88B" w14:textId="77777777" w:rsidTr="00374B2D">
        <w:trPr>
          <w:trHeight w:val="3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921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A20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83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9284" w14:textId="77777777" w:rsidR="00C866DB" w:rsidRPr="008925C7" w:rsidRDefault="00C866DB" w:rsidP="00374B2D">
            <w:pPr>
              <w:jc w:val="both"/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 Light"/>
                <w:color w:val="0A0000"/>
                <w:sz w:val="10"/>
                <w:szCs w:val="10"/>
              </w:rPr>
              <w:t>TUBOS VACUTAINER C/ GEL SEPARADOR TAMPA AMARELA 4 ML, CAIXA COM 100 TUBOS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A71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786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8925C7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CX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97B8A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17F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526D" w14:textId="77777777" w:rsidR="00C866DB" w:rsidRPr="008925C7" w:rsidRDefault="00C866DB" w:rsidP="00374B2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435C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7A5447D9" w14:textId="77777777" w:rsidR="00C866DB" w:rsidRDefault="00C866DB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1666A1A7" w:rsidR="00AF5B7E" w:rsidRPr="00E360F0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63D1085B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4967FD9F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lastRenderedPageBreak/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A20E84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4435F1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B072DD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2BCF9C" w14:textId="77777777" w:rsidR="00C475B5" w:rsidRDefault="00C475B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C18ED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377665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FD08B6A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416653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E0567F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9AF955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C40A5CA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CA3075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62AC25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AE0EAE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38A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831FBD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7BC747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313BC2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58B232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D12614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F97E3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DF096F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BDF368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5DF959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F157485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DF2CE8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7BE974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E63566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945C14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5FAF42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B3CBEA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8A9319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4C2014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33500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99B96E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D9A6CD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B67B76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2ACB61" w14:textId="77777777" w:rsidR="00C866DB" w:rsidRDefault="00C866D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7994C0E2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5577D0E4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3926EB3F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76F677B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>: emprega menor, a partir de 14 (quatorze) anos, na condição de aprendiz (  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3721A31E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09F9B64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7E161C4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125A68CD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2B9FA2D2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09B9C3E1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24FB1A44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3503DC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4C90BFCA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</w:t>
      </w:r>
      <w:r w:rsidR="003503DC"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344FB5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E7BB" w14:textId="77777777" w:rsidR="00344FB5" w:rsidRDefault="00344FB5">
      <w:r>
        <w:separator/>
      </w:r>
    </w:p>
  </w:endnote>
  <w:endnote w:type="continuationSeparator" w:id="0">
    <w:p w14:paraId="2308FFBC" w14:textId="77777777" w:rsidR="00344FB5" w:rsidRDefault="00344FB5">
      <w:r>
        <w:continuationSeparator/>
      </w:r>
    </w:p>
  </w:endnote>
  <w:endnote w:type="continuationNotice" w:id="1">
    <w:p w14:paraId="71FD9143" w14:textId="77777777" w:rsidR="00344FB5" w:rsidRDefault="00344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5A06" w14:textId="77777777" w:rsidR="00344FB5" w:rsidRDefault="00344FB5">
      <w:r>
        <w:separator/>
      </w:r>
    </w:p>
  </w:footnote>
  <w:footnote w:type="continuationSeparator" w:id="0">
    <w:p w14:paraId="33C803B6" w14:textId="77777777" w:rsidR="00344FB5" w:rsidRDefault="00344FB5">
      <w:r>
        <w:continuationSeparator/>
      </w:r>
    </w:p>
  </w:footnote>
  <w:footnote w:type="continuationNotice" w:id="1">
    <w:p w14:paraId="7927EEA2" w14:textId="77777777" w:rsidR="00344FB5" w:rsidRDefault="00344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BA95" w14:textId="2BAE6EDF" w:rsidR="000F247D" w:rsidRDefault="000F247D" w:rsidP="000F247D">
    <w:pPr>
      <w:pStyle w:val="Cabealho"/>
    </w:pPr>
    <w:r w:rsidRPr="00A56D49">
      <w:rPr>
        <w:noProof/>
      </w:rPr>
      <w:drawing>
        <wp:inline distT="0" distB="0" distL="0" distR="0" wp14:anchorId="212E9168" wp14:editId="128D0E76">
          <wp:extent cx="5934710" cy="1235075"/>
          <wp:effectExtent l="0" t="0" r="0" b="0"/>
          <wp:docPr id="1764852074" name="Imagem 721599151" descr="Uma imagem contendo Interface gráfica do usuári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21599151" descr="Uma imagem contendo Interface gráfica do usuári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29016" w14:textId="77777777" w:rsidR="000F247D" w:rsidRPr="00224D3D" w:rsidRDefault="000F247D" w:rsidP="000F247D">
    <w:pPr>
      <w:pStyle w:val="Cabealho"/>
      <w:jc w:val="center"/>
      <w:rPr>
        <w:rFonts w:ascii="Garamond" w:hAnsi="Garamond"/>
        <w:b/>
        <w:i/>
        <w:color w:val="538135"/>
      </w:rPr>
    </w:pPr>
    <w:r w:rsidRPr="00224D3D">
      <w:rPr>
        <w:rFonts w:ascii="Garamond" w:hAnsi="Garamond"/>
        <w:b/>
        <w:i/>
        <w:color w:val="538135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4FB5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0B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3FB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5B5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66DB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2426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2024-03-20T17:10:00Z</dcterms:created>
  <dcterms:modified xsi:type="dcterms:W3CDTF">2024-03-20T17:10:00Z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